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060" w:type="dxa"/>
        <w:jc w:val="center"/>
        <w:tblLook w:val="04A0" w:firstRow="1" w:lastRow="0" w:firstColumn="1" w:lastColumn="0" w:noHBand="0" w:noVBand="1"/>
      </w:tblPr>
      <w:tblGrid>
        <w:gridCol w:w="22"/>
        <w:gridCol w:w="868"/>
        <w:gridCol w:w="4348"/>
        <w:gridCol w:w="22"/>
        <w:gridCol w:w="5790"/>
        <w:gridCol w:w="10"/>
      </w:tblGrid>
      <w:tr w:rsidR="0073181B" w:rsidRPr="00A206A0" w:rsidTr="00D63160">
        <w:trPr>
          <w:gridBefore w:val="1"/>
          <w:wBefore w:w="22" w:type="dxa"/>
          <w:jc w:val="center"/>
        </w:trPr>
        <w:tc>
          <w:tcPr>
            <w:tcW w:w="11038" w:type="dxa"/>
            <w:gridSpan w:val="5"/>
            <w:shd w:val="clear" w:color="auto" w:fill="D9D9D9" w:themeFill="background1" w:themeFillShade="D9"/>
          </w:tcPr>
          <w:p w:rsidR="0073181B" w:rsidRPr="00A206A0" w:rsidRDefault="0073181B" w:rsidP="009B4E42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A206A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شناسه </w:t>
            </w:r>
          </w:p>
        </w:tc>
      </w:tr>
      <w:tr w:rsidR="0073181B" w:rsidRPr="00A206A0" w:rsidTr="00D63160">
        <w:trPr>
          <w:gridBefore w:val="1"/>
          <w:wBefore w:w="22" w:type="dxa"/>
          <w:trHeight w:val="454"/>
          <w:jc w:val="center"/>
        </w:trPr>
        <w:tc>
          <w:tcPr>
            <w:tcW w:w="11038" w:type="dxa"/>
            <w:gridSpan w:val="5"/>
            <w:vAlign w:val="center"/>
          </w:tcPr>
          <w:p w:rsidR="0073181B" w:rsidRPr="00A206A0" w:rsidRDefault="0073181B" w:rsidP="00D97FAD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A206A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حوزه موضوعه: </w:t>
            </w:r>
            <w:r w:rsidR="00D97FAD">
              <w:rPr>
                <w:rFonts w:cs="B Nazanin" w:hint="cs"/>
                <w:sz w:val="24"/>
                <w:szCs w:val="24"/>
                <w:rtl/>
              </w:rPr>
              <w:t>کار و تأمین اجتماعی</w:t>
            </w:r>
          </w:p>
        </w:tc>
      </w:tr>
      <w:tr w:rsidR="0073181B" w:rsidRPr="00A206A0" w:rsidTr="00D63160">
        <w:trPr>
          <w:gridBefore w:val="1"/>
          <w:wBefore w:w="22" w:type="dxa"/>
          <w:trHeight w:val="454"/>
          <w:jc w:val="center"/>
        </w:trPr>
        <w:tc>
          <w:tcPr>
            <w:tcW w:w="11038" w:type="dxa"/>
            <w:gridSpan w:val="5"/>
            <w:vAlign w:val="center"/>
          </w:tcPr>
          <w:p w:rsidR="0073181B" w:rsidRPr="00A206A0" w:rsidRDefault="0073181B" w:rsidP="00D97FAD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A206A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تهیه‌کننده: </w:t>
            </w:r>
            <w:r w:rsidR="00C0342A">
              <w:rPr>
                <w:rFonts w:cs="B Nazanin" w:hint="cs"/>
                <w:sz w:val="24"/>
                <w:szCs w:val="24"/>
                <w:rtl/>
              </w:rPr>
              <w:t xml:space="preserve">دبیرخانه </w:t>
            </w:r>
            <w:r w:rsidR="00D97FAD">
              <w:rPr>
                <w:rFonts w:cs="B Nazanin" w:hint="cs"/>
                <w:sz w:val="24"/>
                <w:szCs w:val="24"/>
                <w:rtl/>
              </w:rPr>
              <w:t>شورای گفت‌وگوی دولت و بخش خصوصی</w:t>
            </w:r>
          </w:p>
        </w:tc>
      </w:tr>
      <w:tr w:rsidR="0073181B" w:rsidRPr="00A206A0" w:rsidTr="00391A92">
        <w:trPr>
          <w:gridBefore w:val="1"/>
          <w:wBefore w:w="22" w:type="dxa"/>
          <w:trHeight w:val="454"/>
          <w:jc w:val="center"/>
        </w:trPr>
        <w:tc>
          <w:tcPr>
            <w:tcW w:w="5238" w:type="dxa"/>
            <w:gridSpan w:val="3"/>
            <w:vAlign w:val="center"/>
          </w:tcPr>
          <w:p w:rsidR="0073181B" w:rsidRPr="00A206A0" w:rsidRDefault="0073181B" w:rsidP="00D97FAD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A206A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تهیه: </w:t>
            </w:r>
            <w:r w:rsidR="00D97FAD">
              <w:rPr>
                <w:rFonts w:cs="B Nazanin" w:hint="cs"/>
                <w:sz w:val="24"/>
                <w:szCs w:val="24"/>
                <w:rtl/>
              </w:rPr>
              <w:t>21/12/1395</w:t>
            </w:r>
          </w:p>
        </w:tc>
        <w:tc>
          <w:tcPr>
            <w:tcW w:w="5800" w:type="dxa"/>
            <w:gridSpan w:val="2"/>
            <w:vAlign w:val="center"/>
          </w:tcPr>
          <w:p w:rsidR="0073181B" w:rsidRPr="00A206A0" w:rsidRDefault="0073181B" w:rsidP="00484D20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A206A0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صفحه:</w:t>
            </w:r>
            <w:r w:rsidR="00C0342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84D20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73181B" w:rsidRPr="00A206A0" w:rsidTr="00391A92">
        <w:tblPrEx>
          <w:jc w:val="left"/>
        </w:tblPrEx>
        <w:trPr>
          <w:gridAfter w:val="1"/>
          <w:wAfter w:w="10" w:type="dxa"/>
          <w:trHeight w:val="535"/>
        </w:trPr>
        <w:tc>
          <w:tcPr>
            <w:tcW w:w="890" w:type="dxa"/>
            <w:gridSpan w:val="2"/>
            <w:shd w:val="clear" w:color="auto" w:fill="D9D9D9" w:themeFill="background1" w:themeFillShade="D9"/>
            <w:vAlign w:val="center"/>
          </w:tcPr>
          <w:p w:rsidR="0073181B" w:rsidRPr="00A206A0" w:rsidRDefault="0073181B" w:rsidP="009B4E42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206A0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348" w:type="dxa"/>
            <w:shd w:val="clear" w:color="auto" w:fill="D9D9D9" w:themeFill="background1" w:themeFillShade="D9"/>
            <w:vAlign w:val="center"/>
          </w:tcPr>
          <w:p w:rsidR="0073181B" w:rsidRPr="00A206A0" w:rsidRDefault="0073181B" w:rsidP="009B4E42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206A0">
              <w:rPr>
                <w:rFonts w:cs="B Nazanin" w:hint="cs"/>
                <w:b/>
                <w:bCs/>
                <w:sz w:val="24"/>
                <w:szCs w:val="24"/>
                <w:rtl/>
              </w:rPr>
              <w:t>مـــوضــــوع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73181B" w:rsidRPr="00A206A0" w:rsidRDefault="0073181B" w:rsidP="009B4E42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206A0">
              <w:rPr>
                <w:rFonts w:cs="B Nazanin" w:hint="cs"/>
                <w:b/>
                <w:bCs/>
                <w:sz w:val="24"/>
                <w:szCs w:val="24"/>
                <w:rtl/>
              </w:rPr>
              <w:t>تــــصمیمات</w:t>
            </w:r>
          </w:p>
        </w:tc>
      </w:tr>
      <w:tr w:rsidR="0073181B" w:rsidRPr="00A206A0" w:rsidTr="00391A92">
        <w:tblPrEx>
          <w:jc w:val="left"/>
        </w:tblPrEx>
        <w:trPr>
          <w:gridAfter w:val="1"/>
          <w:wAfter w:w="10" w:type="dxa"/>
          <w:trHeight w:val="642"/>
        </w:trPr>
        <w:tc>
          <w:tcPr>
            <w:tcW w:w="890" w:type="dxa"/>
            <w:gridSpan w:val="2"/>
            <w:vAlign w:val="center"/>
          </w:tcPr>
          <w:p w:rsidR="0073181B" w:rsidRPr="005703BE" w:rsidRDefault="0073181B" w:rsidP="00256D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703B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48" w:type="dxa"/>
          </w:tcPr>
          <w:p w:rsidR="0073181B" w:rsidRPr="0002372A" w:rsidRDefault="00D97FAD" w:rsidP="003D00FC">
            <w:pPr>
              <w:jc w:val="mediumKashida"/>
              <w:rPr>
                <w:rFonts w:cs="Cambria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پیش از دستور: "ضرورت ساماندهی ایجاد و ثبت تشکل‌های اقتصادی فعال توسط اتاق‌ها طبق ماده 5 قانون بهبود مستمر محیط کسب  کار"</w:t>
            </w:r>
          </w:p>
        </w:tc>
        <w:tc>
          <w:tcPr>
            <w:tcW w:w="5812" w:type="dxa"/>
            <w:gridSpan w:val="2"/>
          </w:tcPr>
          <w:p w:rsidR="003D00FC" w:rsidRPr="00484D20" w:rsidRDefault="00D97FAD" w:rsidP="00D97FAD">
            <w:pPr>
              <w:spacing w:after="0" w:line="240" w:lineRule="auto"/>
              <w:jc w:val="medium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مقرر شد به منظور ساماندهی ثبت تشکل‌های اقتصادی، کارگروهی متشکل از نمایندگان اتاق ایران، وزارت تعاون، کار و رفاه اجتماعی، وزارت صنعت، معدن و تجارت و وزارت امور اقتصادی و دارایی تشکیل شود تا بررسی دقیق حوزه وظایف و مسئولیت‌های مراجع ثبت تشکل‌های اقتصادی، پیشنهاداتی را جهت صدور نظام‌مند مجوز ایجاد تشکل‌ تدوین نموده و به منظور اتخاذ تصمیم نهایی به شورای گفت‌وگو ارائه نمایند.</w:t>
            </w:r>
          </w:p>
        </w:tc>
      </w:tr>
      <w:tr w:rsidR="0073181B" w:rsidRPr="00A206A0" w:rsidTr="00391A92">
        <w:tblPrEx>
          <w:jc w:val="left"/>
        </w:tblPrEx>
        <w:trPr>
          <w:gridAfter w:val="1"/>
          <w:wAfter w:w="10" w:type="dxa"/>
          <w:trHeight w:val="3179"/>
        </w:trPr>
        <w:tc>
          <w:tcPr>
            <w:tcW w:w="890" w:type="dxa"/>
            <w:gridSpan w:val="2"/>
            <w:vAlign w:val="center"/>
          </w:tcPr>
          <w:p w:rsidR="0073181B" w:rsidRPr="005703BE" w:rsidRDefault="0073181B" w:rsidP="00256D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703BE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348" w:type="dxa"/>
          </w:tcPr>
          <w:p w:rsidR="0073181B" w:rsidRPr="00E3438A" w:rsidRDefault="008D0687" w:rsidP="004537BB">
            <w:pPr>
              <w:jc w:val="mediumKashida"/>
              <w:rPr>
                <w:rFonts w:cs="Cambria"/>
                <w:b/>
                <w:bCs/>
                <w:sz w:val="24"/>
                <w:szCs w:val="24"/>
                <w:rtl/>
              </w:rPr>
            </w:pPr>
            <w:r w:rsidRPr="00E343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دستور جلسه </w:t>
            </w:r>
            <w:r w:rsidR="004537BB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E343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E3438A">
              <w:rPr>
                <w:rFonts w:cs="Cambria" w:hint="cs"/>
                <w:b/>
                <w:bCs/>
                <w:sz w:val="24"/>
                <w:szCs w:val="24"/>
                <w:rtl/>
              </w:rPr>
              <w:t>"</w:t>
            </w:r>
            <w:r w:rsidR="00484D20" w:rsidRPr="00E86319">
              <w:rPr>
                <w:rFonts w:cs="B Nazanin" w:hint="cs"/>
                <w:b/>
                <w:bCs/>
                <w:color w:val="000000" w:themeColor="text1"/>
                <w:sz w:val="26"/>
                <w:szCs w:val="26"/>
                <w:rtl/>
                <w:lang w:bidi="ar-SA"/>
              </w:rPr>
              <w:t xml:space="preserve"> </w:t>
            </w:r>
            <w:r w:rsidR="004537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ar-SA"/>
              </w:rPr>
              <w:t>پیگیری مطالبات اجرا نشده بخش خصوصی در زمینه مشکلات مرتبط با حسابرسی از اسناد مالی و دفاتر قانونی کارفرمایان و مهلت ده ساله آن توسط سازمان تأمین اجتماعی</w:t>
            </w:r>
            <w:r w:rsidR="00E3438A">
              <w:rPr>
                <w:rFonts w:cs="Cambria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5812" w:type="dxa"/>
            <w:gridSpan w:val="2"/>
          </w:tcPr>
          <w:p w:rsidR="007C46DA" w:rsidRDefault="004537BB" w:rsidP="007B3F0A">
            <w:pPr>
              <w:spacing w:after="0" w:line="240" w:lineRule="auto"/>
              <w:jc w:val="medium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 عنایت به مواد 39، 47 و 101 قانون تأمین اجتماعی و همچنین توافق به عمل آمده بین اعضای شورای گفت‌وگوی دولت و بخش خصوصی، مقرر شد از این پس در رسیدگی‌های سازمان تأمین اجتماعی در خصوص حقوق و دستمزد صرفاً بازرسی از صورت مزد و حقوق و مزایای بیمه‌شدگان صورت پذیرد و همچنین بازرسی از دفاتر و مدارک کارفرمایان نیز صرفاً محدود</w:t>
            </w:r>
            <w:r w:rsidR="00310672">
              <w:rPr>
                <w:rFonts w:cs="B Nazanin" w:hint="cs"/>
                <w:sz w:val="24"/>
                <w:szCs w:val="24"/>
                <w:rtl/>
              </w:rPr>
              <w:t xml:space="preserve"> به آن بخش از دفاتر باشد که مرتب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ط با حقوق و مزایای کارکنان است. </w:t>
            </w:r>
          </w:p>
          <w:p w:rsidR="000A4B9C" w:rsidRDefault="004537BB" w:rsidP="000A4B9C">
            <w:pPr>
              <w:spacing w:after="0" w:line="240" w:lineRule="auto"/>
              <w:jc w:val="medium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ضمن آنکه مقرر گردید مهلت انجام این بازرسی‌ها برای کارفرمایان حداکثر تا ی</w:t>
            </w:r>
            <w:r w:rsidR="006E262B">
              <w:rPr>
                <w:rFonts w:cs="B Nazanin" w:hint="cs"/>
                <w:sz w:val="24"/>
                <w:szCs w:val="24"/>
                <w:rtl/>
              </w:rPr>
              <w:t>ک سال پس از پایان سال مالی باشد</w:t>
            </w:r>
            <w:r w:rsidR="000A4B9C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02372A" w:rsidRPr="005703BE" w:rsidRDefault="00153AF7" w:rsidP="00153AF7">
            <w:pPr>
              <w:spacing w:after="0" w:line="240" w:lineRule="auto"/>
              <w:jc w:val="medium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</w:t>
            </w:r>
            <w:r w:rsidR="000A4B9C">
              <w:rPr>
                <w:rFonts w:cs="B Nazanin" w:hint="cs"/>
                <w:sz w:val="24"/>
                <w:szCs w:val="24"/>
                <w:rtl/>
              </w:rPr>
              <w:t>جام بازرسی بعد از این مهلت یک ساله</w:t>
            </w:r>
            <w:r w:rsidR="0027403F">
              <w:rPr>
                <w:rFonts w:cs="B Nazanin" w:hint="cs"/>
                <w:sz w:val="24"/>
                <w:szCs w:val="24"/>
                <w:rtl/>
              </w:rPr>
              <w:t>،</w:t>
            </w:r>
            <w:r w:rsidR="000A4B9C">
              <w:rPr>
                <w:rFonts w:cs="B Nazanin" w:hint="cs"/>
                <w:sz w:val="24"/>
                <w:szCs w:val="24"/>
                <w:rtl/>
              </w:rPr>
              <w:t xml:space="preserve"> تنها در صورتی امکانپذیر است که</w:t>
            </w:r>
            <w:r w:rsidR="0027403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E262B">
              <w:rPr>
                <w:rFonts w:cs="B Nazanin" w:hint="cs"/>
                <w:sz w:val="24"/>
                <w:szCs w:val="24"/>
                <w:rtl/>
              </w:rPr>
              <w:t xml:space="preserve">شکایتی از سوی از کارکنان </w:t>
            </w:r>
            <w:r w:rsidR="000A4B9C">
              <w:rPr>
                <w:rFonts w:cs="B Nazanin" w:hint="cs"/>
                <w:sz w:val="24"/>
                <w:szCs w:val="24"/>
                <w:rtl/>
              </w:rPr>
              <w:t xml:space="preserve">آن کارگاه </w:t>
            </w:r>
            <w:r w:rsidR="0027403F">
              <w:rPr>
                <w:rFonts w:cs="B Nazanin" w:hint="cs"/>
                <w:sz w:val="24"/>
                <w:szCs w:val="24"/>
                <w:rtl/>
              </w:rPr>
              <w:t xml:space="preserve">صورت پذیرفته باشد که در این صورت، امکان مراجعه به صورت مزد و همچنین بخش حقوق و دستمزد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دفاتر </w:t>
            </w:r>
            <w:r w:rsidR="0027403F">
              <w:rPr>
                <w:rFonts w:cs="B Nazanin" w:hint="cs"/>
                <w:sz w:val="24"/>
                <w:szCs w:val="24"/>
                <w:rtl/>
              </w:rPr>
              <w:t xml:space="preserve">سنوات گذشته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آن کارگاه </w:t>
            </w:r>
            <w:r w:rsidR="0027403F">
              <w:rPr>
                <w:rFonts w:cs="B Nazanin" w:hint="cs"/>
                <w:sz w:val="24"/>
                <w:szCs w:val="24"/>
                <w:rtl/>
              </w:rPr>
              <w:t>از سوی سازمان وجود دارد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</w:tr>
      <w:tr w:rsidR="00E3438A" w:rsidRPr="00A206A0" w:rsidTr="00391A92">
        <w:tblPrEx>
          <w:jc w:val="left"/>
        </w:tblPrEx>
        <w:trPr>
          <w:gridAfter w:val="1"/>
          <w:wAfter w:w="10" w:type="dxa"/>
          <w:trHeight w:val="368"/>
        </w:trPr>
        <w:tc>
          <w:tcPr>
            <w:tcW w:w="890" w:type="dxa"/>
            <w:gridSpan w:val="2"/>
            <w:vAlign w:val="center"/>
          </w:tcPr>
          <w:p w:rsidR="00E3438A" w:rsidRPr="005703BE" w:rsidRDefault="00E3438A" w:rsidP="00256D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348" w:type="dxa"/>
          </w:tcPr>
          <w:p w:rsidR="00E3438A" w:rsidRPr="007B3F0A" w:rsidRDefault="00E3438A" w:rsidP="00BE0CD4">
            <w:pPr>
              <w:jc w:val="mediumKashida"/>
              <w:rPr>
                <w:rFonts w:cs="Cambria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دستور جلسه </w:t>
            </w:r>
            <w:r w:rsidR="00BE0CD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cs="Cambria" w:hint="cs"/>
                <w:b/>
                <w:bCs/>
                <w:sz w:val="24"/>
                <w:szCs w:val="24"/>
                <w:rtl/>
              </w:rPr>
              <w:t>"</w:t>
            </w:r>
            <w:r w:rsidR="00BE0CD4">
              <w:rPr>
                <w:rFonts w:cs="B Nazanin" w:hint="cs"/>
                <w:b/>
                <w:bCs/>
                <w:sz w:val="24"/>
                <w:szCs w:val="24"/>
                <w:rtl/>
              </w:rPr>
              <w:t>پیگیری مطالبات اجرا نشده بخش خصوصی در زمینه مراتب تجدیدنظر در ترکیب هیئت‌های تشخیص مطالبات، موضوع مواد 43 و 44 قانون تأمین اجتماعی"</w:t>
            </w:r>
          </w:p>
        </w:tc>
        <w:tc>
          <w:tcPr>
            <w:tcW w:w="5812" w:type="dxa"/>
            <w:gridSpan w:val="2"/>
          </w:tcPr>
          <w:p w:rsidR="00DA2187" w:rsidRDefault="00BE0CD4" w:rsidP="007B3F0A">
            <w:pPr>
              <w:spacing w:after="0" w:line="240" w:lineRule="auto"/>
              <w:jc w:val="medium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مقرر گردید از این پس، وزیر محترم تعاون، کار و رفاه اجتماعی </w:t>
            </w:r>
            <w:r w:rsidR="00DA2187">
              <w:rPr>
                <w:rFonts w:cs="B Nazanin" w:hint="cs"/>
                <w:sz w:val="24"/>
                <w:szCs w:val="24"/>
                <w:rtl/>
              </w:rPr>
              <w:t xml:space="preserve">به جای معرفی نماینده خود از سازمان تأمین اجتماعی، نمایندگانی از بدنه وزارتخانه </w:t>
            </w:r>
            <w:r w:rsidR="004B587E">
              <w:rPr>
                <w:rFonts w:cs="B Nazanin" w:hint="cs"/>
                <w:sz w:val="24"/>
                <w:szCs w:val="24"/>
                <w:rtl/>
              </w:rPr>
              <w:t xml:space="preserve">و یا سایر مراجع به غیر از سازمان تامین اجتماعی </w:t>
            </w:r>
            <w:r w:rsidR="00DA2187">
              <w:rPr>
                <w:rFonts w:cs="B Nazanin" w:hint="cs"/>
                <w:sz w:val="24"/>
                <w:szCs w:val="24"/>
                <w:rtl/>
              </w:rPr>
              <w:t>را جهت حضور در هیئت‌های بدوی و تجدیدنظر تشخیص مطالبات معرفی نمایند.</w:t>
            </w:r>
          </w:p>
          <w:p w:rsidR="00E3438A" w:rsidRDefault="00DA2187" w:rsidP="00391A92">
            <w:pPr>
              <w:spacing w:after="0" w:line="240" w:lineRule="auto"/>
              <w:jc w:val="medium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همچنین مقرر شد در صورت معرفی نمایندگان ذیصلاح از سوی اتاق بازرگانی، صنایع، معادن و کشاورزی ایران به مقام محترم وزارت</w:t>
            </w:r>
            <w:r w:rsidR="003140CC">
              <w:rPr>
                <w:rFonts w:cs="B Nazanin" w:hint="cs"/>
                <w:sz w:val="24"/>
                <w:szCs w:val="24"/>
                <w:rtl/>
              </w:rPr>
              <w:t xml:space="preserve"> و تایید ایشا</w:t>
            </w:r>
            <w:r w:rsidR="00391A92">
              <w:rPr>
                <w:rFonts w:cs="B Nazanin" w:hint="cs"/>
                <w:sz w:val="24"/>
                <w:szCs w:val="24"/>
                <w:rtl/>
              </w:rPr>
              <w:t>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از </w:t>
            </w:r>
            <w:r w:rsidR="003140CC">
              <w:rPr>
                <w:rFonts w:cs="B Nazanin" w:hint="cs"/>
                <w:sz w:val="24"/>
                <w:szCs w:val="24"/>
                <w:rtl/>
              </w:rPr>
              <w:t>افراد معرفی شده اتاق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607FD">
              <w:rPr>
                <w:rFonts w:cs="B Nazanin" w:hint="cs"/>
                <w:sz w:val="24"/>
                <w:szCs w:val="24"/>
                <w:rtl/>
              </w:rPr>
              <w:t xml:space="preserve">نیز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به عنوان نماینده </w:t>
            </w:r>
            <w:r w:rsidR="003607FD">
              <w:rPr>
                <w:rFonts w:cs="B Nazanin" w:hint="cs"/>
                <w:sz w:val="24"/>
                <w:szCs w:val="24"/>
                <w:rtl/>
              </w:rPr>
              <w:t xml:space="preserve">وزیر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در هیئت‌های تشخیص مطالبات </w:t>
            </w:r>
            <w:r w:rsidR="003140CC">
              <w:rPr>
                <w:rFonts w:cs="B Nazanin" w:hint="cs"/>
                <w:sz w:val="24"/>
                <w:szCs w:val="24"/>
                <w:rtl/>
              </w:rPr>
              <w:t xml:space="preserve">سراسر کشور </w:t>
            </w:r>
            <w:r>
              <w:rPr>
                <w:rFonts w:cs="B Nazanin" w:hint="cs"/>
                <w:sz w:val="24"/>
                <w:szCs w:val="24"/>
                <w:rtl/>
              </w:rPr>
              <w:t>استفاده گردد.</w:t>
            </w:r>
            <w:r w:rsidR="00C707F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DA2187" w:rsidRPr="00A206A0" w:rsidTr="00391A92">
        <w:tblPrEx>
          <w:jc w:val="left"/>
        </w:tblPrEx>
        <w:trPr>
          <w:gridAfter w:val="1"/>
          <w:wAfter w:w="10" w:type="dxa"/>
          <w:trHeight w:val="1718"/>
        </w:trPr>
        <w:tc>
          <w:tcPr>
            <w:tcW w:w="890" w:type="dxa"/>
            <w:gridSpan w:val="2"/>
            <w:vAlign w:val="center"/>
          </w:tcPr>
          <w:p w:rsidR="00DA2187" w:rsidRDefault="00DA2187" w:rsidP="00256D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4348" w:type="dxa"/>
          </w:tcPr>
          <w:p w:rsidR="00DA2187" w:rsidRDefault="00DA2187" w:rsidP="00BE0CD4">
            <w:pPr>
              <w:jc w:val="medium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دستور جلسه 3: " پیگیری مطالبات اجرا نشده بخش خصوصی در زمینه مشکلات مربوط به اعمال ماده 38 قانون تأمین اجتماعی و ضرایب بیمه پیمانکاری نسبت به قراردادهای خرید و فروش قطعات (موضوع ماده 40 قانون رفع موانع تولید) </w:t>
            </w:r>
          </w:p>
        </w:tc>
        <w:tc>
          <w:tcPr>
            <w:tcW w:w="5812" w:type="dxa"/>
            <w:gridSpan w:val="2"/>
          </w:tcPr>
          <w:p w:rsidR="00ED4046" w:rsidRDefault="00ED4046" w:rsidP="007B3F0A">
            <w:pPr>
              <w:spacing w:after="0" w:line="240" w:lineRule="auto"/>
              <w:jc w:val="medium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مقرر گردید محتویات نامه شماره 12989/95/1000 مورخ 8/12/95 سازمان تامین اجتماعی خطاب به موسسه حسابرسی تامین اجتماعی با موضوع اجرای مفاد بخشنامه شماره 3/11 و 9/14، به تمامی شعب تامین اجتماعی </w:t>
            </w:r>
            <w:r w:rsidR="006066F2">
              <w:rPr>
                <w:rFonts w:cs="B Nazanin" w:hint="cs"/>
                <w:sz w:val="24"/>
                <w:szCs w:val="24"/>
                <w:rtl/>
              </w:rPr>
              <w:t>کشور و سایر ذینفعان ابلاغ شود.</w:t>
            </w:r>
          </w:p>
          <w:p w:rsidR="00DA2187" w:rsidRPr="00DA2187" w:rsidRDefault="006066F2" w:rsidP="00CA40F3">
            <w:pPr>
              <w:spacing w:after="0" w:line="240" w:lineRule="auto"/>
              <w:jc w:val="mediumKashida"/>
              <w:rPr>
                <w:rFonts w:cs="B Nazanin"/>
                <w:sz w:val="24"/>
                <w:szCs w:val="24"/>
                <w:u w:val="words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همچنین </w:t>
            </w:r>
            <w:r w:rsidR="00DA2187">
              <w:rPr>
                <w:rFonts w:cs="B Nazanin" w:hint="cs"/>
                <w:sz w:val="24"/>
                <w:szCs w:val="24"/>
                <w:rtl/>
              </w:rPr>
              <w:t xml:space="preserve">مقرر </w:t>
            </w:r>
            <w:r>
              <w:rPr>
                <w:rFonts w:cs="B Nazanin" w:hint="cs"/>
                <w:sz w:val="24"/>
                <w:szCs w:val="24"/>
                <w:rtl/>
              </w:rPr>
              <w:t>شد</w:t>
            </w:r>
            <w:r w:rsidR="00DA2187">
              <w:rPr>
                <w:rFonts w:cs="B Nazanin" w:hint="cs"/>
                <w:sz w:val="24"/>
                <w:szCs w:val="24"/>
                <w:rtl/>
              </w:rPr>
              <w:t xml:space="preserve"> کارگروهی با حضور نمایندگانی از وزارت تعاون، کار و رفاه اجتماعی، سازمان تأم</w:t>
            </w:r>
            <w:r w:rsidR="002A64A5">
              <w:rPr>
                <w:rFonts w:cs="B Nazanin" w:hint="cs"/>
                <w:sz w:val="24"/>
                <w:szCs w:val="24"/>
                <w:rtl/>
              </w:rPr>
              <w:t>ی</w:t>
            </w:r>
            <w:r w:rsidR="00DA2187">
              <w:rPr>
                <w:rFonts w:cs="B Nazanin" w:hint="cs"/>
                <w:sz w:val="24"/>
                <w:szCs w:val="24"/>
                <w:rtl/>
              </w:rPr>
              <w:t xml:space="preserve">ن اجتماعی، وزارت صنعت، معدن و تجارت، وزارت امور اقتصادی و دارایی و همچنین اتاق‌های بازرگانی، تعاون و اصناف ایران تشکیل گردد تا ضمن بررسی </w:t>
            </w:r>
            <w:r w:rsidR="00CA40F3">
              <w:rPr>
                <w:rFonts w:cs="B Nazanin" w:hint="cs"/>
                <w:sz w:val="24"/>
                <w:szCs w:val="24"/>
                <w:rtl/>
              </w:rPr>
              <w:t xml:space="preserve">و تفکیک </w:t>
            </w:r>
            <w:r w:rsidR="00DA2187">
              <w:rPr>
                <w:rFonts w:cs="B Nazanin" w:hint="cs"/>
                <w:sz w:val="24"/>
                <w:szCs w:val="24"/>
                <w:rtl/>
              </w:rPr>
              <w:t>مصادیق اعمال ضریب حق بیمه به پیمان‌های دارای کارگاه ثابت</w:t>
            </w:r>
            <w:r w:rsidR="00CA40F3">
              <w:rPr>
                <w:rFonts w:cs="B Nazanin" w:hint="cs"/>
                <w:sz w:val="24"/>
                <w:szCs w:val="24"/>
                <w:rtl/>
              </w:rPr>
              <w:t>،</w:t>
            </w:r>
            <w:r w:rsidR="00DA2187">
              <w:rPr>
                <w:rFonts w:cs="B Nazanin" w:hint="cs"/>
                <w:sz w:val="24"/>
                <w:szCs w:val="24"/>
                <w:rtl/>
              </w:rPr>
              <w:t xml:space="preserve"> موضوع اج</w:t>
            </w:r>
            <w:r w:rsidR="002A64A5">
              <w:rPr>
                <w:rFonts w:cs="B Nazanin" w:hint="cs"/>
                <w:sz w:val="24"/>
                <w:szCs w:val="24"/>
                <w:rtl/>
              </w:rPr>
              <w:t>ر</w:t>
            </w:r>
            <w:r w:rsidR="00DA2187">
              <w:rPr>
                <w:rFonts w:cs="B Nazanin" w:hint="cs"/>
                <w:sz w:val="24"/>
                <w:szCs w:val="24"/>
                <w:rtl/>
              </w:rPr>
              <w:t xml:space="preserve">ای صحیح قوانین مرتبط از جمله ماده 40 قانون رفع موانع تولید رقابت‌پذیر و تطابق کامل آن با بخشنامه‌های سازمان </w:t>
            </w:r>
            <w:r w:rsidR="004D49EC">
              <w:rPr>
                <w:rFonts w:cs="B Nazanin" w:hint="cs"/>
                <w:sz w:val="24"/>
                <w:szCs w:val="24"/>
                <w:rtl/>
              </w:rPr>
              <w:t xml:space="preserve">تأمین اجتماعی از جمله بخشنامه‌های 3/11 و 9/14 را بررسی </w:t>
            </w:r>
            <w:r w:rsidR="00391A92">
              <w:rPr>
                <w:rFonts w:cs="B Nazanin" w:hint="cs"/>
                <w:sz w:val="24"/>
                <w:szCs w:val="24"/>
                <w:rtl/>
              </w:rPr>
              <w:t>و پ</w:t>
            </w:r>
            <w:r w:rsidR="007C46DA">
              <w:rPr>
                <w:rFonts w:cs="B Nazanin" w:hint="cs"/>
                <w:sz w:val="24"/>
                <w:szCs w:val="24"/>
                <w:rtl/>
              </w:rPr>
              <w:t>یشنهادات لازم را ارائه نماید</w:t>
            </w:r>
            <w:r w:rsidR="004D49EC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</w:tr>
    </w:tbl>
    <w:p w:rsidR="0073181B" w:rsidRPr="00A206A0" w:rsidRDefault="0073181B">
      <w:pPr>
        <w:rPr>
          <w:sz w:val="24"/>
          <w:szCs w:val="24"/>
        </w:rPr>
      </w:pPr>
    </w:p>
    <w:sectPr w:rsidR="0073181B" w:rsidRPr="00A206A0" w:rsidSect="00FC121B">
      <w:headerReference w:type="default" r:id="rId8"/>
      <w:footerReference w:type="default" r:id="rId9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13" w:rsidRDefault="00B62A13" w:rsidP="00F523F2">
      <w:pPr>
        <w:spacing w:after="0" w:line="240" w:lineRule="auto"/>
      </w:pPr>
      <w:r>
        <w:separator/>
      </w:r>
    </w:p>
  </w:endnote>
  <w:endnote w:type="continuationSeparator" w:id="0">
    <w:p w:rsidR="00B62A13" w:rsidRDefault="00B62A13" w:rsidP="00F5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3F2" w:rsidRPr="00F523F2" w:rsidRDefault="00F523F2" w:rsidP="00A6388C">
    <w:pPr>
      <w:pStyle w:val="Footer"/>
      <w:bidi/>
      <w:rPr>
        <w:rFonts w:cs="B Nazan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13" w:rsidRDefault="00B62A13" w:rsidP="00F523F2">
      <w:pPr>
        <w:spacing w:after="0" w:line="240" w:lineRule="auto"/>
      </w:pPr>
      <w:r>
        <w:separator/>
      </w:r>
    </w:p>
  </w:footnote>
  <w:footnote w:type="continuationSeparator" w:id="0">
    <w:p w:rsidR="00B62A13" w:rsidRDefault="00B62A13" w:rsidP="00F52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76"/>
      <w:gridCol w:w="7738"/>
      <w:gridCol w:w="1700"/>
    </w:tblGrid>
    <w:tr w:rsidR="00F523F2" w:rsidRPr="00CD296D" w:rsidTr="00FC121B">
      <w:trPr>
        <w:trHeight w:val="198"/>
      </w:trPr>
      <w:tc>
        <w:tcPr>
          <w:tcW w:w="636" w:type="pct"/>
          <w:vMerge w:val="restart"/>
          <w:tcBorders>
            <w:top w:val="nil"/>
            <w:left w:val="nil"/>
            <w:bottom w:val="single" w:sz="12" w:space="0" w:color="auto"/>
            <w:right w:val="nil"/>
          </w:tcBorders>
        </w:tcPr>
        <w:p w:rsidR="0073181B" w:rsidRPr="00CD296D" w:rsidRDefault="0073181B" w:rsidP="0073181B">
          <w:pPr>
            <w:pStyle w:val="Header"/>
            <w:bidi/>
            <w:rPr>
              <w:rFonts w:cs="B Nazanin"/>
              <w:b/>
              <w:bCs/>
              <w:caps/>
              <w:sz w:val="20"/>
              <w:szCs w:val="20"/>
              <w:rtl/>
              <w:lang w:bidi="fa-IR"/>
            </w:rPr>
          </w:pPr>
        </w:p>
      </w:tc>
      <w:tc>
        <w:tcPr>
          <w:tcW w:w="3578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F523F2" w:rsidRPr="00CD296D" w:rsidRDefault="00F523F2" w:rsidP="00857235">
          <w:pPr>
            <w:pStyle w:val="Header"/>
            <w:jc w:val="center"/>
            <w:rPr>
              <w:rFonts w:cs="B Nazanin"/>
              <w:b/>
              <w:bCs/>
              <w:sz w:val="20"/>
              <w:szCs w:val="20"/>
            </w:rPr>
          </w:pPr>
          <w:r w:rsidRPr="00CD296D">
            <w:rPr>
              <w:rFonts w:cs="B Nazanin" w:hint="cs"/>
              <w:b/>
              <w:bCs/>
              <w:sz w:val="20"/>
              <w:szCs w:val="20"/>
              <w:rtl/>
            </w:rPr>
            <w:t>اتاق بازرگانی، صنایع، معادن و کشاورزی ایران</w:t>
          </w:r>
        </w:p>
      </w:tc>
      <w:tc>
        <w:tcPr>
          <w:tcW w:w="786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F523F2" w:rsidRPr="00CD296D" w:rsidRDefault="00D97FAD" w:rsidP="00857235">
          <w:pPr>
            <w:pStyle w:val="Header"/>
            <w:jc w:val="center"/>
            <w:rPr>
              <w:rFonts w:cs="B Nazanin"/>
              <w:b/>
              <w:bCs/>
              <w:sz w:val="20"/>
              <w:szCs w:val="20"/>
            </w:rPr>
          </w:pPr>
          <w:r>
            <w:rPr>
              <w:rFonts w:cs="B Nazanin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765810" cy="69899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==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602" cy="707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523F2" w:rsidRPr="00CD296D" w:rsidTr="00FC121B">
      <w:trPr>
        <w:trHeight w:val="69"/>
      </w:trPr>
      <w:tc>
        <w:tcPr>
          <w:tcW w:w="636" w:type="pct"/>
          <w:vMerge/>
          <w:tcBorders>
            <w:left w:val="nil"/>
            <w:bottom w:val="single" w:sz="12" w:space="0" w:color="auto"/>
            <w:right w:val="nil"/>
          </w:tcBorders>
        </w:tcPr>
        <w:p w:rsidR="00F523F2" w:rsidRPr="00CD296D" w:rsidRDefault="00F523F2" w:rsidP="00857235">
          <w:pPr>
            <w:pStyle w:val="Header"/>
            <w:jc w:val="center"/>
            <w:rPr>
              <w:rFonts w:cs="B Nazanin"/>
              <w:b/>
              <w:bCs/>
              <w:caps/>
              <w:sz w:val="20"/>
              <w:szCs w:val="20"/>
            </w:rPr>
          </w:pPr>
        </w:p>
      </w:tc>
      <w:tc>
        <w:tcPr>
          <w:tcW w:w="3578" w:type="pc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</w:tcPr>
        <w:p w:rsidR="00F523F2" w:rsidRDefault="009B4E42" w:rsidP="00D97FAD">
          <w:pPr>
            <w:pStyle w:val="Header"/>
            <w:bidi/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مصوبات </w:t>
          </w:r>
          <w:r w:rsidR="00D97FAD">
            <w:rPr>
              <w:rFonts w:cs="B Nazanin" w:hint="cs"/>
              <w:b/>
              <w:bCs/>
              <w:rtl/>
            </w:rPr>
            <w:t>شصت و پنجمین</w:t>
          </w:r>
          <w:r w:rsidR="00C707FC">
            <w:rPr>
              <w:rFonts w:cs="B Nazanin" w:hint="cs"/>
              <w:b/>
              <w:bCs/>
              <w:rtl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 xml:space="preserve">نشست </w:t>
          </w:r>
          <w:r w:rsidR="00D97FAD">
            <w:rPr>
              <w:rFonts w:cs="B Nazanin" w:hint="cs"/>
              <w:b/>
              <w:bCs/>
              <w:rtl/>
            </w:rPr>
            <w:t>شورای گفت‌وگوی دولت و بخش خصوصی</w:t>
          </w:r>
        </w:p>
        <w:p w:rsidR="009B4E42" w:rsidRPr="00CD296D" w:rsidRDefault="009B4E42" w:rsidP="00D97FAD">
          <w:pPr>
            <w:pStyle w:val="Header"/>
            <w:bidi/>
            <w:jc w:val="center"/>
            <w:rPr>
              <w:rFonts w:cs="B Nazanin"/>
              <w:b/>
              <w:bCs/>
              <w:sz w:val="20"/>
              <w:szCs w:val="20"/>
              <w:rtl/>
            </w:rPr>
          </w:pPr>
          <w:r>
            <w:rPr>
              <w:rFonts w:cs="B Nazanin" w:hint="cs"/>
              <w:b/>
              <w:bCs/>
              <w:sz w:val="20"/>
              <w:szCs w:val="20"/>
              <w:rtl/>
            </w:rPr>
            <w:t xml:space="preserve">مورخ </w:t>
          </w:r>
          <w:r w:rsidR="00D97FAD">
            <w:rPr>
              <w:rFonts w:cs="B Nazanin" w:hint="cs"/>
              <w:b/>
              <w:bCs/>
              <w:sz w:val="20"/>
              <w:szCs w:val="20"/>
              <w:rtl/>
            </w:rPr>
            <w:t>16</w:t>
          </w:r>
          <w:r w:rsidR="00C707FC">
            <w:rPr>
              <w:rFonts w:cs="B Nazanin" w:hint="cs"/>
              <w:b/>
              <w:bCs/>
              <w:sz w:val="20"/>
              <w:szCs w:val="20"/>
              <w:rtl/>
            </w:rPr>
            <w:t>/12/95</w:t>
          </w:r>
        </w:p>
      </w:tc>
      <w:tc>
        <w:tcPr>
          <w:tcW w:w="786" w:type="pct"/>
          <w:vMerge/>
          <w:tcBorders>
            <w:left w:val="nil"/>
            <w:bottom w:val="single" w:sz="12" w:space="0" w:color="auto"/>
            <w:right w:val="nil"/>
          </w:tcBorders>
        </w:tcPr>
        <w:p w:rsidR="00F523F2" w:rsidRPr="00CD296D" w:rsidRDefault="00F523F2" w:rsidP="00857235">
          <w:pPr>
            <w:pStyle w:val="Header"/>
            <w:jc w:val="center"/>
            <w:rPr>
              <w:rFonts w:cs="B Nazanin"/>
              <w:b/>
              <w:bCs/>
              <w:sz w:val="20"/>
              <w:szCs w:val="20"/>
            </w:rPr>
          </w:pPr>
        </w:p>
      </w:tc>
    </w:tr>
  </w:tbl>
  <w:p w:rsidR="00F523F2" w:rsidRDefault="00F523F2" w:rsidP="00F523F2">
    <w:pPr>
      <w:pStyle w:val="Header"/>
      <w:tabs>
        <w:tab w:val="clear" w:pos="4680"/>
        <w:tab w:val="clear" w:pos="9360"/>
        <w:tab w:val="left" w:pos="91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4C7A"/>
    <w:multiLevelType w:val="hybridMultilevel"/>
    <w:tmpl w:val="1B8ACECE"/>
    <w:lvl w:ilvl="0" w:tplc="5EBA5D0C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9E"/>
    <w:rsid w:val="00012C5C"/>
    <w:rsid w:val="00020C3E"/>
    <w:rsid w:val="00022A40"/>
    <w:rsid w:val="0002372A"/>
    <w:rsid w:val="0002504A"/>
    <w:rsid w:val="000310B6"/>
    <w:rsid w:val="000342F2"/>
    <w:rsid w:val="00066D91"/>
    <w:rsid w:val="000713D8"/>
    <w:rsid w:val="00076077"/>
    <w:rsid w:val="00082336"/>
    <w:rsid w:val="00082BEA"/>
    <w:rsid w:val="000864DF"/>
    <w:rsid w:val="00091A61"/>
    <w:rsid w:val="00093D13"/>
    <w:rsid w:val="000A4361"/>
    <w:rsid w:val="000A4B9C"/>
    <w:rsid w:val="000B555F"/>
    <w:rsid w:val="000C1C5A"/>
    <w:rsid w:val="000C6B12"/>
    <w:rsid w:val="000D0AC4"/>
    <w:rsid w:val="000D4601"/>
    <w:rsid w:val="000D5563"/>
    <w:rsid w:val="000D6CA6"/>
    <w:rsid w:val="000E14C6"/>
    <w:rsid w:val="000F3982"/>
    <w:rsid w:val="000F6C80"/>
    <w:rsid w:val="00111830"/>
    <w:rsid w:val="00113763"/>
    <w:rsid w:val="001139AB"/>
    <w:rsid w:val="001202B0"/>
    <w:rsid w:val="00123A62"/>
    <w:rsid w:val="00125C34"/>
    <w:rsid w:val="001275B0"/>
    <w:rsid w:val="00142BA8"/>
    <w:rsid w:val="00143B41"/>
    <w:rsid w:val="00147FC9"/>
    <w:rsid w:val="00151133"/>
    <w:rsid w:val="001525D2"/>
    <w:rsid w:val="00153AF7"/>
    <w:rsid w:val="001719C9"/>
    <w:rsid w:val="00175935"/>
    <w:rsid w:val="00184399"/>
    <w:rsid w:val="0019027D"/>
    <w:rsid w:val="001946B1"/>
    <w:rsid w:val="001A1523"/>
    <w:rsid w:val="001B49AD"/>
    <w:rsid w:val="001C759D"/>
    <w:rsid w:val="00214D7D"/>
    <w:rsid w:val="002369BB"/>
    <w:rsid w:val="00240C50"/>
    <w:rsid w:val="00243742"/>
    <w:rsid w:val="00251252"/>
    <w:rsid w:val="00262ADC"/>
    <w:rsid w:val="00270137"/>
    <w:rsid w:val="0027403F"/>
    <w:rsid w:val="00286AC7"/>
    <w:rsid w:val="0029062C"/>
    <w:rsid w:val="002A0FB0"/>
    <w:rsid w:val="002A4447"/>
    <w:rsid w:val="002A64A5"/>
    <w:rsid w:val="002B6FDC"/>
    <w:rsid w:val="002D07B2"/>
    <w:rsid w:val="002E2AAB"/>
    <w:rsid w:val="002E50A3"/>
    <w:rsid w:val="002E6080"/>
    <w:rsid w:val="00310672"/>
    <w:rsid w:val="003140CC"/>
    <w:rsid w:val="003239DC"/>
    <w:rsid w:val="003271C4"/>
    <w:rsid w:val="00334FC1"/>
    <w:rsid w:val="0033715F"/>
    <w:rsid w:val="003374FC"/>
    <w:rsid w:val="00343AC6"/>
    <w:rsid w:val="003443A4"/>
    <w:rsid w:val="003607FD"/>
    <w:rsid w:val="00361E9F"/>
    <w:rsid w:val="003669DB"/>
    <w:rsid w:val="00367529"/>
    <w:rsid w:val="00377BFB"/>
    <w:rsid w:val="00384287"/>
    <w:rsid w:val="00386CDB"/>
    <w:rsid w:val="00391A92"/>
    <w:rsid w:val="003A3B11"/>
    <w:rsid w:val="003A4959"/>
    <w:rsid w:val="003B6163"/>
    <w:rsid w:val="003C6E6D"/>
    <w:rsid w:val="003D00FC"/>
    <w:rsid w:val="003D08F6"/>
    <w:rsid w:val="003D6C2D"/>
    <w:rsid w:val="003F4220"/>
    <w:rsid w:val="00407B69"/>
    <w:rsid w:val="00442496"/>
    <w:rsid w:val="00443791"/>
    <w:rsid w:val="00445620"/>
    <w:rsid w:val="004537BB"/>
    <w:rsid w:val="00454446"/>
    <w:rsid w:val="0046368B"/>
    <w:rsid w:val="0047158A"/>
    <w:rsid w:val="00475897"/>
    <w:rsid w:val="0047751D"/>
    <w:rsid w:val="00481BDF"/>
    <w:rsid w:val="004837F7"/>
    <w:rsid w:val="00483BBD"/>
    <w:rsid w:val="00484D20"/>
    <w:rsid w:val="004850C7"/>
    <w:rsid w:val="00494ABF"/>
    <w:rsid w:val="004B0FA2"/>
    <w:rsid w:val="004B2DAB"/>
    <w:rsid w:val="004B2ED5"/>
    <w:rsid w:val="004B3A22"/>
    <w:rsid w:val="004B587E"/>
    <w:rsid w:val="004C1E74"/>
    <w:rsid w:val="004C3699"/>
    <w:rsid w:val="004D11CF"/>
    <w:rsid w:val="004D49EC"/>
    <w:rsid w:val="004E342E"/>
    <w:rsid w:val="00501F6B"/>
    <w:rsid w:val="00510B56"/>
    <w:rsid w:val="00516F26"/>
    <w:rsid w:val="00526FED"/>
    <w:rsid w:val="00527CE4"/>
    <w:rsid w:val="00536A83"/>
    <w:rsid w:val="00537F01"/>
    <w:rsid w:val="0054004E"/>
    <w:rsid w:val="005438D0"/>
    <w:rsid w:val="0054425F"/>
    <w:rsid w:val="0054729E"/>
    <w:rsid w:val="005663B0"/>
    <w:rsid w:val="005703BE"/>
    <w:rsid w:val="0057456E"/>
    <w:rsid w:val="00587F0D"/>
    <w:rsid w:val="005A4FC8"/>
    <w:rsid w:val="005A5B62"/>
    <w:rsid w:val="005B3F54"/>
    <w:rsid w:val="005B78E8"/>
    <w:rsid w:val="005D4C51"/>
    <w:rsid w:val="005F1B98"/>
    <w:rsid w:val="005F5130"/>
    <w:rsid w:val="006066F2"/>
    <w:rsid w:val="006067BF"/>
    <w:rsid w:val="00616A1F"/>
    <w:rsid w:val="00622A2B"/>
    <w:rsid w:val="00634394"/>
    <w:rsid w:val="0065040D"/>
    <w:rsid w:val="0065098E"/>
    <w:rsid w:val="0065418E"/>
    <w:rsid w:val="00654D52"/>
    <w:rsid w:val="00656710"/>
    <w:rsid w:val="00664065"/>
    <w:rsid w:val="0066587B"/>
    <w:rsid w:val="00667827"/>
    <w:rsid w:val="00667DFF"/>
    <w:rsid w:val="00674A3D"/>
    <w:rsid w:val="006757B5"/>
    <w:rsid w:val="00676DA6"/>
    <w:rsid w:val="00680402"/>
    <w:rsid w:val="00690D7D"/>
    <w:rsid w:val="006A62F6"/>
    <w:rsid w:val="006D211D"/>
    <w:rsid w:val="006D4734"/>
    <w:rsid w:val="006D6815"/>
    <w:rsid w:val="006E262B"/>
    <w:rsid w:val="00714CC8"/>
    <w:rsid w:val="0072705B"/>
    <w:rsid w:val="0073181B"/>
    <w:rsid w:val="007359BD"/>
    <w:rsid w:val="00754A06"/>
    <w:rsid w:val="007550FD"/>
    <w:rsid w:val="007555B3"/>
    <w:rsid w:val="00761A8C"/>
    <w:rsid w:val="00767EF2"/>
    <w:rsid w:val="00772A1A"/>
    <w:rsid w:val="007731C0"/>
    <w:rsid w:val="00774BD0"/>
    <w:rsid w:val="00784B01"/>
    <w:rsid w:val="00785318"/>
    <w:rsid w:val="00787140"/>
    <w:rsid w:val="007A1E03"/>
    <w:rsid w:val="007A3826"/>
    <w:rsid w:val="007A5AB4"/>
    <w:rsid w:val="007B3F0A"/>
    <w:rsid w:val="007C0928"/>
    <w:rsid w:val="007C22D3"/>
    <w:rsid w:val="007C46DA"/>
    <w:rsid w:val="007D355F"/>
    <w:rsid w:val="007D35DE"/>
    <w:rsid w:val="007E0BE6"/>
    <w:rsid w:val="007E1A84"/>
    <w:rsid w:val="007E2289"/>
    <w:rsid w:val="00803535"/>
    <w:rsid w:val="00803D40"/>
    <w:rsid w:val="00813F28"/>
    <w:rsid w:val="008321F8"/>
    <w:rsid w:val="008347F2"/>
    <w:rsid w:val="00840C3C"/>
    <w:rsid w:val="00841F9C"/>
    <w:rsid w:val="00857CE0"/>
    <w:rsid w:val="008744A8"/>
    <w:rsid w:val="00884129"/>
    <w:rsid w:val="00893011"/>
    <w:rsid w:val="008A0888"/>
    <w:rsid w:val="008A1999"/>
    <w:rsid w:val="008A2B78"/>
    <w:rsid w:val="008B4E39"/>
    <w:rsid w:val="008C57F1"/>
    <w:rsid w:val="008D0687"/>
    <w:rsid w:val="008D44F2"/>
    <w:rsid w:val="008D5A22"/>
    <w:rsid w:val="008E7D81"/>
    <w:rsid w:val="008F036E"/>
    <w:rsid w:val="008F5E07"/>
    <w:rsid w:val="009053ED"/>
    <w:rsid w:val="0091132A"/>
    <w:rsid w:val="00921A40"/>
    <w:rsid w:val="009378A4"/>
    <w:rsid w:val="00944380"/>
    <w:rsid w:val="00952D84"/>
    <w:rsid w:val="00954D3C"/>
    <w:rsid w:val="009626FC"/>
    <w:rsid w:val="00973F7D"/>
    <w:rsid w:val="0097795C"/>
    <w:rsid w:val="00983FD7"/>
    <w:rsid w:val="0098469B"/>
    <w:rsid w:val="00987819"/>
    <w:rsid w:val="00995B06"/>
    <w:rsid w:val="009A6592"/>
    <w:rsid w:val="009B4E42"/>
    <w:rsid w:val="009B6E5D"/>
    <w:rsid w:val="009B7E76"/>
    <w:rsid w:val="009C2EEA"/>
    <w:rsid w:val="009D7CB0"/>
    <w:rsid w:val="009F249E"/>
    <w:rsid w:val="009F56F6"/>
    <w:rsid w:val="00A05E95"/>
    <w:rsid w:val="00A20656"/>
    <w:rsid w:val="00A206A0"/>
    <w:rsid w:val="00A2353A"/>
    <w:rsid w:val="00A40F6E"/>
    <w:rsid w:val="00A457BF"/>
    <w:rsid w:val="00A6388C"/>
    <w:rsid w:val="00A6549F"/>
    <w:rsid w:val="00A67A1A"/>
    <w:rsid w:val="00A72B98"/>
    <w:rsid w:val="00A86027"/>
    <w:rsid w:val="00A94250"/>
    <w:rsid w:val="00AA58D7"/>
    <w:rsid w:val="00AB0CFB"/>
    <w:rsid w:val="00AC456E"/>
    <w:rsid w:val="00AC6E79"/>
    <w:rsid w:val="00AD1A1B"/>
    <w:rsid w:val="00AF0D4D"/>
    <w:rsid w:val="00B01E80"/>
    <w:rsid w:val="00B076AE"/>
    <w:rsid w:val="00B149FD"/>
    <w:rsid w:val="00B15342"/>
    <w:rsid w:val="00B1724D"/>
    <w:rsid w:val="00B225E2"/>
    <w:rsid w:val="00B23418"/>
    <w:rsid w:val="00B60C6C"/>
    <w:rsid w:val="00B62A13"/>
    <w:rsid w:val="00B73508"/>
    <w:rsid w:val="00B7675C"/>
    <w:rsid w:val="00B86DC0"/>
    <w:rsid w:val="00B879CB"/>
    <w:rsid w:val="00B9458B"/>
    <w:rsid w:val="00BA1295"/>
    <w:rsid w:val="00BB1F5B"/>
    <w:rsid w:val="00BB2DC5"/>
    <w:rsid w:val="00BC234C"/>
    <w:rsid w:val="00BC362F"/>
    <w:rsid w:val="00BC5C8F"/>
    <w:rsid w:val="00BE0CD4"/>
    <w:rsid w:val="00BE453C"/>
    <w:rsid w:val="00C0342A"/>
    <w:rsid w:val="00C25F9C"/>
    <w:rsid w:val="00C425DA"/>
    <w:rsid w:val="00C51607"/>
    <w:rsid w:val="00C54DA8"/>
    <w:rsid w:val="00C6038F"/>
    <w:rsid w:val="00C707FC"/>
    <w:rsid w:val="00C72CAB"/>
    <w:rsid w:val="00C75E79"/>
    <w:rsid w:val="00C8058E"/>
    <w:rsid w:val="00C828A8"/>
    <w:rsid w:val="00C86A6E"/>
    <w:rsid w:val="00C9743F"/>
    <w:rsid w:val="00CA3476"/>
    <w:rsid w:val="00CA40F3"/>
    <w:rsid w:val="00CB5A3B"/>
    <w:rsid w:val="00CC450D"/>
    <w:rsid w:val="00CD296D"/>
    <w:rsid w:val="00CE4732"/>
    <w:rsid w:val="00CE6483"/>
    <w:rsid w:val="00CF1994"/>
    <w:rsid w:val="00D06CA4"/>
    <w:rsid w:val="00D17A36"/>
    <w:rsid w:val="00D25AFF"/>
    <w:rsid w:val="00D3330B"/>
    <w:rsid w:val="00D34A5D"/>
    <w:rsid w:val="00D45C2F"/>
    <w:rsid w:val="00D528A1"/>
    <w:rsid w:val="00D54604"/>
    <w:rsid w:val="00D61DDB"/>
    <w:rsid w:val="00D63160"/>
    <w:rsid w:val="00D74F9B"/>
    <w:rsid w:val="00D76E4C"/>
    <w:rsid w:val="00D97FAD"/>
    <w:rsid w:val="00DA2187"/>
    <w:rsid w:val="00DA378F"/>
    <w:rsid w:val="00DA5A4C"/>
    <w:rsid w:val="00DC7835"/>
    <w:rsid w:val="00DC78AD"/>
    <w:rsid w:val="00DC7E09"/>
    <w:rsid w:val="00DD0886"/>
    <w:rsid w:val="00DE381A"/>
    <w:rsid w:val="00DE3AFC"/>
    <w:rsid w:val="00DE6670"/>
    <w:rsid w:val="00DF71EC"/>
    <w:rsid w:val="00E02FEF"/>
    <w:rsid w:val="00E04E39"/>
    <w:rsid w:val="00E10467"/>
    <w:rsid w:val="00E12765"/>
    <w:rsid w:val="00E21DE4"/>
    <w:rsid w:val="00E24A01"/>
    <w:rsid w:val="00E3187A"/>
    <w:rsid w:val="00E329FA"/>
    <w:rsid w:val="00E3438A"/>
    <w:rsid w:val="00E51824"/>
    <w:rsid w:val="00E52E6E"/>
    <w:rsid w:val="00E542AB"/>
    <w:rsid w:val="00E60C6E"/>
    <w:rsid w:val="00E641F6"/>
    <w:rsid w:val="00E65DAC"/>
    <w:rsid w:val="00E746A3"/>
    <w:rsid w:val="00E90CEC"/>
    <w:rsid w:val="00E91DB3"/>
    <w:rsid w:val="00EA1AAF"/>
    <w:rsid w:val="00EB5F1C"/>
    <w:rsid w:val="00EB697B"/>
    <w:rsid w:val="00EC0C29"/>
    <w:rsid w:val="00EC5B90"/>
    <w:rsid w:val="00ED4046"/>
    <w:rsid w:val="00F0017E"/>
    <w:rsid w:val="00F1192D"/>
    <w:rsid w:val="00F17F8F"/>
    <w:rsid w:val="00F2511A"/>
    <w:rsid w:val="00F313C1"/>
    <w:rsid w:val="00F3434D"/>
    <w:rsid w:val="00F415EE"/>
    <w:rsid w:val="00F41AE5"/>
    <w:rsid w:val="00F45C28"/>
    <w:rsid w:val="00F46109"/>
    <w:rsid w:val="00F50886"/>
    <w:rsid w:val="00F523F2"/>
    <w:rsid w:val="00F553FA"/>
    <w:rsid w:val="00F56406"/>
    <w:rsid w:val="00F7489D"/>
    <w:rsid w:val="00F77784"/>
    <w:rsid w:val="00F77B9B"/>
    <w:rsid w:val="00F80AA2"/>
    <w:rsid w:val="00F82279"/>
    <w:rsid w:val="00F82D56"/>
    <w:rsid w:val="00F84639"/>
    <w:rsid w:val="00F951C9"/>
    <w:rsid w:val="00FA1AD8"/>
    <w:rsid w:val="00FA2719"/>
    <w:rsid w:val="00FA4F03"/>
    <w:rsid w:val="00FC121B"/>
    <w:rsid w:val="00FD1604"/>
    <w:rsid w:val="00FE4E2A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13D4AA-9D9D-48A5-8968-C06BC0B7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34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23F2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523F2"/>
  </w:style>
  <w:style w:type="paragraph" w:styleId="Footer">
    <w:name w:val="footer"/>
    <w:basedOn w:val="Normal"/>
    <w:link w:val="FooterChar"/>
    <w:uiPriority w:val="99"/>
    <w:unhideWhenUsed/>
    <w:rsid w:val="00F523F2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523F2"/>
  </w:style>
  <w:style w:type="table" w:styleId="TableGrid">
    <w:name w:val="Table Grid"/>
    <w:basedOn w:val="TableNormal"/>
    <w:uiPriority w:val="59"/>
    <w:rsid w:val="00125C34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87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02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864D-CF61-4A6E-99DC-389F5814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IpcGroup-1</dc:creator>
  <cp:lastModifiedBy>Mohsen Ameri</cp:lastModifiedBy>
  <cp:revision>2</cp:revision>
  <cp:lastPrinted>2017-01-24T06:43:00Z</cp:lastPrinted>
  <dcterms:created xsi:type="dcterms:W3CDTF">2017-03-13T05:45:00Z</dcterms:created>
  <dcterms:modified xsi:type="dcterms:W3CDTF">2017-03-13T05:45:00Z</dcterms:modified>
</cp:coreProperties>
</file>